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9E6F3" w14:textId="7A156E57" w:rsidR="0089014D" w:rsidRPr="0089014D" w:rsidRDefault="0089014D" w:rsidP="0089014D">
      <w:pPr>
        <w:spacing w:before="120" w:after="120" w:line="280" w:lineRule="atLeast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89014D">
        <w:rPr>
          <w:rFonts w:ascii="Times New Roman" w:hAnsi="Times New Roman" w:cs="Times New Roman"/>
          <w:i/>
          <w:iCs/>
          <w:sz w:val="24"/>
          <w:szCs w:val="24"/>
        </w:rPr>
        <w:t>Projekt</w:t>
      </w:r>
    </w:p>
    <w:p w14:paraId="2B86F9FB" w14:textId="77777777" w:rsidR="0089014D" w:rsidRDefault="0089014D" w:rsidP="0016041F">
      <w:pPr>
        <w:spacing w:before="120" w:after="120" w:line="28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68ED3" w14:textId="2B105278" w:rsidR="00480484" w:rsidRDefault="0089014D" w:rsidP="0089014D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 S T A W A</w:t>
      </w:r>
    </w:p>
    <w:p w14:paraId="496839D3" w14:textId="1284FDF6" w:rsidR="0089014D" w:rsidRPr="0089014D" w:rsidRDefault="0089014D" w:rsidP="0089014D">
      <w:pPr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014D">
        <w:rPr>
          <w:rFonts w:ascii="Times New Roman" w:hAnsi="Times New Roman" w:cs="Times New Roman"/>
          <w:sz w:val="24"/>
          <w:szCs w:val="24"/>
        </w:rPr>
        <w:t>z dnia …</w:t>
      </w:r>
    </w:p>
    <w:p w14:paraId="0C1247B1" w14:textId="2C387FBD" w:rsidR="00077D8B" w:rsidRPr="0016041F" w:rsidRDefault="00444C27" w:rsidP="0089014D">
      <w:pPr>
        <w:spacing w:before="12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41F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077D8B" w:rsidRPr="0016041F">
        <w:rPr>
          <w:rFonts w:ascii="Times New Roman" w:hAnsi="Times New Roman" w:cs="Times New Roman"/>
          <w:b/>
          <w:bCs/>
          <w:sz w:val="24"/>
          <w:szCs w:val="24"/>
        </w:rPr>
        <w:t xml:space="preserve"> zmianie ustawy o osłonach socjalnych dla pracowników sektora elektroenergetycznego i branży górnictwa węgla brunatnego</w:t>
      </w:r>
    </w:p>
    <w:p w14:paraId="7B8EF50F" w14:textId="77777777" w:rsidR="00077D8B" w:rsidRPr="0016041F" w:rsidRDefault="00077D8B" w:rsidP="0089014D">
      <w:pPr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477C3150" w14:textId="50AC1966" w:rsidR="0089014D" w:rsidRPr="0016041F" w:rsidRDefault="00077D8B" w:rsidP="0089014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1F">
        <w:rPr>
          <w:rFonts w:ascii="Times New Roman" w:hAnsi="Times New Roman" w:cs="Times New Roman"/>
          <w:b/>
          <w:bCs/>
          <w:sz w:val="24"/>
          <w:szCs w:val="24"/>
        </w:rPr>
        <w:t>Art. 1.</w:t>
      </w:r>
      <w:r w:rsidRPr="0016041F">
        <w:rPr>
          <w:rFonts w:ascii="Times New Roman" w:hAnsi="Times New Roman" w:cs="Times New Roman"/>
          <w:sz w:val="24"/>
          <w:szCs w:val="24"/>
        </w:rPr>
        <w:t xml:space="preserve"> W ustawie z dnia 17 sierpnia 2023 r. o osłonach socjalnych dla pracowników sektora elektroenergetycznego i branży górnictwa węgla brunatnego (Dz.U. z 2026 r. poz. 89)</w:t>
      </w:r>
      <w:r w:rsidR="00452E61" w:rsidRPr="0016041F">
        <w:rPr>
          <w:rFonts w:ascii="Times New Roman" w:hAnsi="Times New Roman" w:cs="Times New Roman"/>
          <w:sz w:val="24"/>
          <w:szCs w:val="24"/>
        </w:rPr>
        <w:t xml:space="preserve"> wprowadza się następujące zmiany:</w:t>
      </w:r>
    </w:p>
    <w:p w14:paraId="38E96562" w14:textId="5A2D8A9B" w:rsidR="0089014D" w:rsidRPr="0089014D" w:rsidRDefault="00BB65A9" w:rsidP="0089014D">
      <w:pPr>
        <w:pStyle w:val="Akapitzlist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444C27" w:rsidRPr="0016041F">
        <w:rPr>
          <w:rFonts w:ascii="Times New Roman" w:hAnsi="Times New Roman" w:cs="Times New Roman"/>
          <w:sz w:val="24"/>
          <w:szCs w:val="24"/>
        </w:rPr>
        <w:t xml:space="preserve"> art. 17</w:t>
      </w:r>
      <w:r w:rsidR="00AF2301" w:rsidRPr="0016041F">
        <w:rPr>
          <w:rFonts w:ascii="Times New Roman" w:hAnsi="Times New Roman" w:cs="Times New Roman"/>
          <w:sz w:val="24"/>
          <w:szCs w:val="24"/>
        </w:rPr>
        <w:t xml:space="preserve"> ust. 8 otrzymuje brzmienie:</w:t>
      </w:r>
    </w:p>
    <w:p w14:paraId="2B9FE789" w14:textId="5557ECF5" w:rsidR="00AF2301" w:rsidRDefault="00AF2301" w:rsidP="0089014D">
      <w:pPr>
        <w:spacing w:before="120" w:after="12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6041F">
        <w:rPr>
          <w:rFonts w:ascii="Times New Roman" w:hAnsi="Times New Roman" w:cs="Times New Roman"/>
          <w:sz w:val="24"/>
          <w:szCs w:val="24"/>
        </w:rPr>
        <w:t>„8. Zarządca rozliczeń może występować do Zakładu o udzielenie informacji niezbędnych do realizacji zadań wynikających z art. 16 ust. 1 </w:t>
      </w:r>
      <w:r w:rsidRPr="00BF45DD">
        <w:rPr>
          <w:rFonts w:ascii="Times New Roman" w:hAnsi="Times New Roman" w:cs="Times New Roman"/>
          <w:sz w:val="24"/>
          <w:szCs w:val="24"/>
        </w:rPr>
        <w:t>i ust. 2 pkt 3, w tym informacji dotyczących aktualnego zatrudnienia osób, które</w:t>
      </w:r>
      <w:r w:rsidR="00286D47">
        <w:rPr>
          <w:rFonts w:ascii="Times New Roman" w:hAnsi="Times New Roman" w:cs="Times New Roman"/>
          <w:sz w:val="24"/>
          <w:szCs w:val="24"/>
        </w:rPr>
        <w:t xml:space="preserve"> </w:t>
      </w:r>
      <w:r w:rsidRPr="00BF45DD">
        <w:rPr>
          <w:rFonts w:ascii="Times New Roman" w:hAnsi="Times New Roman" w:cs="Times New Roman"/>
          <w:sz w:val="24"/>
          <w:szCs w:val="24"/>
        </w:rPr>
        <w:t>skorzystały ze świadczeń przewidzianych niniejszą ustawą ze wskazaniem ich numeru PESEL oraz REGON</w:t>
      </w:r>
      <w:r w:rsidR="007F75D3" w:rsidRPr="00BF45DD">
        <w:rPr>
          <w:rFonts w:ascii="Times New Roman" w:hAnsi="Times New Roman" w:cs="Times New Roman"/>
          <w:sz w:val="24"/>
          <w:szCs w:val="24"/>
        </w:rPr>
        <w:t xml:space="preserve"> podmiotu, na rzecz którego </w:t>
      </w:r>
      <w:r w:rsidR="002B06A8">
        <w:rPr>
          <w:rFonts w:ascii="Times New Roman" w:hAnsi="Times New Roman" w:cs="Times New Roman"/>
          <w:sz w:val="24"/>
          <w:szCs w:val="24"/>
        </w:rPr>
        <w:t xml:space="preserve">te osoby </w:t>
      </w:r>
      <w:r w:rsidR="007F75D3" w:rsidRPr="00BF45DD">
        <w:rPr>
          <w:rFonts w:ascii="Times New Roman" w:hAnsi="Times New Roman" w:cs="Times New Roman"/>
          <w:sz w:val="24"/>
          <w:szCs w:val="24"/>
        </w:rPr>
        <w:t>świadczą pracę</w:t>
      </w:r>
      <w:r w:rsidR="00BB65A9">
        <w:rPr>
          <w:rFonts w:ascii="Times New Roman" w:hAnsi="Times New Roman" w:cs="Times New Roman"/>
          <w:sz w:val="24"/>
          <w:szCs w:val="24"/>
        </w:rPr>
        <w:t>,</w:t>
      </w:r>
      <w:r w:rsidRPr="00BF45DD">
        <w:rPr>
          <w:rFonts w:ascii="Times New Roman" w:hAnsi="Times New Roman" w:cs="Times New Roman"/>
          <w:sz w:val="24"/>
          <w:szCs w:val="24"/>
        </w:rPr>
        <w:t xml:space="preserve"> oraz o przeprowadzenie pos</w:t>
      </w:r>
      <w:r w:rsidRPr="0016041F">
        <w:rPr>
          <w:rFonts w:ascii="Times New Roman" w:hAnsi="Times New Roman" w:cs="Times New Roman"/>
          <w:sz w:val="24"/>
          <w:szCs w:val="24"/>
        </w:rPr>
        <w:t xml:space="preserve">tępowania wyjaśniającego lub kontroli wypłat dokonywanych na podstawie ustawy. Zakład przeprowadza postępowanie wyjaśniające lub kontrolę na podstawie ustawy z dnia 13 października 1998 r. o systemie ubezpieczeń społecznych (Dz.U. z </w:t>
      </w:r>
      <w:r w:rsidR="002B06A8" w:rsidRPr="002B06A8">
        <w:rPr>
          <w:rFonts w:ascii="Times New Roman" w:hAnsi="Times New Roman" w:cs="Times New Roman"/>
          <w:sz w:val="24"/>
          <w:szCs w:val="24"/>
        </w:rPr>
        <w:t>2026 r. poz. 199, 252, 426, 473, 507 i 734</w:t>
      </w:r>
      <w:r w:rsidRPr="0016041F">
        <w:rPr>
          <w:rFonts w:ascii="Times New Roman" w:hAnsi="Times New Roman" w:cs="Times New Roman"/>
          <w:sz w:val="24"/>
          <w:szCs w:val="24"/>
        </w:rPr>
        <w:t>). Po przeprowadzeniu postępowania wyjaśniającego lub kontroli Zakład niezwłocznie informuje zarządcę rozliczeń o ich wynikach.</w:t>
      </w:r>
      <w:r w:rsidR="007F75D3" w:rsidRPr="0016041F">
        <w:rPr>
          <w:rFonts w:ascii="Times New Roman" w:hAnsi="Times New Roman" w:cs="Times New Roman"/>
          <w:sz w:val="24"/>
          <w:szCs w:val="24"/>
        </w:rPr>
        <w:t>”;</w:t>
      </w:r>
    </w:p>
    <w:p w14:paraId="568B4AE2" w14:textId="2F9DE6EF" w:rsidR="0089014D" w:rsidRPr="0089014D" w:rsidRDefault="00BB65A9" w:rsidP="0089014D">
      <w:pPr>
        <w:pStyle w:val="Akapitzlist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444C27" w:rsidRPr="0016041F">
        <w:rPr>
          <w:rFonts w:ascii="Times New Roman" w:hAnsi="Times New Roman" w:cs="Times New Roman"/>
          <w:sz w:val="24"/>
          <w:szCs w:val="24"/>
        </w:rPr>
        <w:t xml:space="preserve"> art. 18</w:t>
      </w:r>
      <w:r w:rsidR="00B05B0F" w:rsidRPr="0016041F">
        <w:rPr>
          <w:rFonts w:ascii="Times New Roman" w:hAnsi="Times New Roman" w:cs="Times New Roman"/>
          <w:sz w:val="24"/>
          <w:szCs w:val="24"/>
        </w:rPr>
        <w:t xml:space="preserve"> ust. 2 otrzymuje brzmienie:</w:t>
      </w:r>
    </w:p>
    <w:p w14:paraId="5BB52EAF" w14:textId="6C496214" w:rsidR="00B05B0F" w:rsidRDefault="0016041F" w:rsidP="0089014D">
      <w:pPr>
        <w:spacing w:before="120" w:after="12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6041F">
        <w:rPr>
          <w:rFonts w:ascii="Times New Roman" w:hAnsi="Times New Roman" w:cs="Times New Roman"/>
          <w:sz w:val="24"/>
          <w:szCs w:val="24"/>
        </w:rPr>
        <w:t>„2.</w:t>
      </w:r>
      <w:r w:rsidR="0089014D">
        <w:rPr>
          <w:rFonts w:ascii="Times New Roman" w:hAnsi="Times New Roman" w:cs="Times New Roman"/>
          <w:sz w:val="24"/>
          <w:szCs w:val="24"/>
        </w:rPr>
        <w:t xml:space="preserve"> </w:t>
      </w:r>
      <w:r w:rsidRPr="0016041F">
        <w:rPr>
          <w:rFonts w:ascii="Times New Roman" w:hAnsi="Times New Roman" w:cs="Times New Roman"/>
          <w:sz w:val="24"/>
          <w:szCs w:val="24"/>
        </w:rPr>
        <w:t>Na finansowanie realizacji zadań określonych w ustawie Zakład otrzymuje dotacje celowe z budżetu państwa. Wysokość dotacji celowej wynosi 0,1 % kwoty dotacji, o której mowa w ust. 1, wypłaconej w poprzednim roku podmiotom, o których mowa w art. 3, przez dysponenta środków przeznaczonych na wypłatę świadczeń socjalnych i jednorazowych odpraw pieniężnych.”.</w:t>
      </w:r>
    </w:p>
    <w:p w14:paraId="6B0159C2" w14:textId="77777777" w:rsidR="0089014D" w:rsidRPr="0016041F" w:rsidRDefault="0089014D" w:rsidP="0089014D">
      <w:pPr>
        <w:spacing w:before="120" w:after="12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F8F2A9A" w14:textId="767F0B7D" w:rsidR="0089014D" w:rsidRPr="0016041F" w:rsidRDefault="0016041F" w:rsidP="00286D47">
      <w:pPr>
        <w:pStyle w:val="ARTartustawynprozporzdzenia"/>
        <w:spacing w:after="120"/>
        <w:rPr>
          <w:rFonts w:ascii="Times New Roman" w:hAnsi="Times New Roman" w:cs="Times New Roman"/>
          <w:szCs w:val="24"/>
        </w:rPr>
      </w:pPr>
      <w:r w:rsidRPr="0016041F">
        <w:rPr>
          <w:rStyle w:val="Ppogrubienie"/>
          <w:rFonts w:ascii="Times New Roman" w:hAnsi="Times New Roman" w:cs="Times New Roman"/>
          <w:szCs w:val="24"/>
        </w:rPr>
        <w:t>Art. 2.</w:t>
      </w:r>
      <w:r w:rsidRPr="0016041F">
        <w:rPr>
          <w:rFonts w:ascii="Times New Roman" w:hAnsi="Times New Roman" w:cs="Times New Roman"/>
          <w:szCs w:val="24"/>
        </w:rPr>
        <w:t> </w:t>
      </w:r>
      <w:r w:rsidR="007B18DF" w:rsidRPr="007B18DF">
        <w:rPr>
          <w:rFonts w:ascii="Times New Roman" w:hAnsi="Times New Roman" w:cs="Times New Roman"/>
          <w:szCs w:val="24"/>
        </w:rPr>
        <w:t xml:space="preserve"> </w:t>
      </w:r>
      <w:r w:rsidR="007B18DF">
        <w:rPr>
          <w:rFonts w:ascii="Times New Roman" w:hAnsi="Times New Roman" w:cs="Times New Roman"/>
          <w:szCs w:val="24"/>
        </w:rPr>
        <w:t>D</w:t>
      </w:r>
      <w:r w:rsidR="007B18DF" w:rsidRPr="0016041F">
        <w:rPr>
          <w:rFonts w:ascii="Times New Roman" w:hAnsi="Times New Roman" w:cs="Times New Roman"/>
          <w:szCs w:val="24"/>
        </w:rPr>
        <w:t>ysponent środków</w:t>
      </w:r>
      <w:r w:rsidR="007B18DF">
        <w:rPr>
          <w:rFonts w:ascii="Times New Roman" w:hAnsi="Times New Roman" w:cs="Times New Roman"/>
          <w:szCs w:val="24"/>
        </w:rPr>
        <w:t xml:space="preserve">, o którym mowa w art. 18 ust. 4 ustawy zmienianej w art. 1, przekaże dotację, </w:t>
      </w:r>
      <w:r w:rsidR="007B18DF" w:rsidRPr="007B18DF">
        <w:rPr>
          <w:rFonts w:ascii="Times New Roman" w:hAnsi="Times New Roman" w:cs="Times New Roman"/>
          <w:szCs w:val="24"/>
        </w:rPr>
        <w:t>o której mowa w art. 18 ust. 2 ustawy zmienianej w art. 1, w brzmieniu nadanym niniejszą</w:t>
      </w:r>
      <w:r w:rsidR="007B18DF">
        <w:rPr>
          <w:rFonts w:ascii="Times New Roman" w:hAnsi="Times New Roman" w:cs="Times New Roman"/>
          <w:szCs w:val="24"/>
        </w:rPr>
        <w:t xml:space="preserve"> </w:t>
      </w:r>
      <w:r w:rsidR="007B18DF" w:rsidRPr="007B18DF">
        <w:rPr>
          <w:rFonts w:ascii="Times New Roman" w:hAnsi="Times New Roman" w:cs="Times New Roman"/>
          <w:szCs w:val="24"/>
        </w:rPr>
        <w:t>ustawą, za rok 2025</w:t>
      </w:r>
      <w:r w:rsidR="007B18DF">
        <w:rPr>
          <w:rFonts w:ascii="Times New Roman" w:hAnsi="Times New Roman" w:cs="Times New Roman"/>
          <w:szCs w:val="24"/>
        </w:rPr>
        <w:t>, w terminie 3 miesięcy od dnia wejścia w życie niniejszej ustawy.</w:t>
      </w:r>
    </w:p>
    <w:p w14:paraId="1604F837" w14:textId="03E45E55" w:rsidR="00480060" w:rsidRPr="0016041F" w:rsidRDefault="0016041F" w:rsidP="0089014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041F">
        <w:rPr>
          <w:rStyle w:val="Ppogrubienie"/>
          <w:rFonts w:ascii="Times New Roman" w:hAnsi="Times New Roman" w:cs="Times New Roman"/>
          <w:sz w:val="24"/>
          <w:szCs w:val="24"/>
        </w:rPr>
        <w:t>Art. 3.</w:t>
      </w:r>
      <w:r w:rsidRPr="0016041F">
        <w:rPr>
          <w:rFonts w:ascii="Times New Roman" w:hAnsi="Times New Roman" w:cs="Times New Roman"/>
          <w:sz w:val="24"/>
          <w:szCs w:val="24"/>
        </w:rPr>
        <w:t> Ustawa wchodzi w życie po upływie 14 dni od dnia ogłoszenia.</w:t>
      </w:r>
    </w:p>
    <w:p w14:paraId="5DFB3AC9" w14:textId="77777777" w:rsidR="00B05B0F" w:rsidRDefault="00B05B0F" w:rsidP="0089014D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38303EC" w14:textId="77777777" w:rsidR="0089014D" w:rsidRDefault="0089014D" w:rsidP="0089014D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9AFD3" w14:textId="77777777" w:rsidR="0089014D" w:rsidRDefault="0089014D" w:rsidP="0089014D">
      <w:pPr>
        <w:spacing w:before="120" w:after="12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496F74" w14:textId="258C0E9F" w:rsidR="00B05B0F" w:rsidRDefault="00B05B0F" w:rsidP="0089014D">
      <w:pPr>
        <w:spacing w:before="120" w:after="12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41F">
        <w:rPr>
          <w:rFonts w:ascii="Times New Roman" w:hAnsi="Times New Roman" w:cs="Times New Roman"/>
          <w:b/>
          <w:bCs/>
          <w:sz w:val="24"/>
          <w:szCs w:val="24"/>
        </w:rPr>
        <w:lastRenderedPageBreak/>
        <w:t>Uzasadnienie</w:t>
      </w:r>
    </w:p>
    <w:p w14:paraId="3DA2BB07" w14:textId="77777777" w:rsidR="0089014D" w:rsidRPr="0016041F" w:rsidRDefault="0089014D" w:rsidP="0089014D">
      <w:pPr>
        <w:spacing w:before="120" w:after="120"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FB14B" w14:textId="2F140DD0" w:rsidR="00A168F1" w:rsidRPr="0016041F" w:rsidRDefault="00B05B0F" w:rsidP="0089014D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41F">
        <w:rPr>
          <w:rFonts w:ascii="Times New Roman" w:hAnsi="Times New Roman" w:cs="Times New Roman"/>
          <w:sz w:val="24"/>
          <w:szCs w:val="24"/>
        </w:rPr>
        <w:t>W sierpniu 2023 r. przyjęt</w:t>
      </w:r>
      <w:r w:rsidR="00A168F1" w:rsidRPr="0016041F">
        <w:rPr>
          <w:rFonts w:ascii="Times New Roman" w:hAnsi="Times New Roman" w:cs="Times New Roman"/>
          <w:sz w:val="24"/>
          <w:szCs w:val="24"/>
        </w:rPr>
        <w:t>a</w:t>
      </w:r>
      <w:r w:rsidRPr="0016041F">
        <w:rPr>
          <w:rFonts w:ascii="Times New Roman" w:hAnsi="Times New Roman" w:cs="Times New Roman"/>
          <w:sz w:val="24"/>
          <w:szCs w:val="24"/>
        </w:rPr>
        <w:t xml:space="preserve"> został</w:t>
      </w:r>
      <w:r w:rsidR="00A168F1" w:rsidRPr="0016041F">
        <w:rPr>
          <w:rFonts w:ascii="Times New Roman" w:hAnsi="Times New Roman" w:cs="Times New Roman"/>
          <w:sz w:val="24"/>
          <w:szCs w:val="24"/>
        </w:rPr>
        <w:t>a</w:t>
      </w:r>
      <w:r w:rsidRPr="0016041F">
        <w:rPr>
          <w:rFonts w:ascii="Times New Roman" w:hAnsi="Times New Roman" w:cs="Times New Roman"/>
          <w:sz w:val="24"/>
          <w:szCs w:val="24"/>
        </w:rPr>
        <w:t xml:space="preserve"> </w:t>
      </w:r>
      <w:r w:rsidR="00A168F1" w:rsidRPr="0016041F">
        <w:rPr>
          <w:rFonts w:ascii="Times New Roman" w:hAnsi="Times New Roman" w:cs="Times New Roman"/>
          <w:sz w:val="24"/>
          <w:szCs w:val="24"/>
        </w:rPr>
        <w:t xml:space="preserve">ustawa o osłonach socjalnych dla pracowników sektora elektroenergetycznego i branży górnictwa węgla brunatnego, która weszła w życie we wrześniu 2023 r. </w:t>
      </w:r>
      <w:r w:rsidR="00BF45DD">
        <w:rPr>
          <w:rFonts w:ascii="Times New Roman" w:hAnsi="Times New Roman" w:cs="Times New Roman"/>
          <w:sz w:val="24"/>
          <w:szCs w:val="24"/>
        </w:rPr>
        <w:br/>
      </w:r>
      <w:r w:rsidR="00A168F1" w:rsidRPr="0016041F">
        <w:rPr>
          <w:rFonts w:ascii="Times New Roman" w:hAnsi="Times New Roman" w:cs="Times New Roman"/>
          <w:sz w:val="24"/>
          <w:szCs w:val="24"/>
        </w:rPr>
        <w:t xml:space="preserve">Po blisko trzech latach jej stosowania w praktyce ujawniła się potrzeba doprecyzowania niektórych zagadnień o charakterze technicznym. </w:t>
      </w:r>
      <w:r w:rsidRPr="0016041F">
        <w:rPr>
          <w:rFonts w:ascii="Times New Roman" w:hAnsi="Times New Roman" w:cs="Times New Roman"/>
          <w:sz w:val="24"/>
          <w:szCs w:val="24"/>
        </w:rPr>
        <w:t xml:space="preserve">Projekt ustawy </w:t>
      </w:r>
      <w:r w:rsidR="00A168F1" w:rsidRPr="0016041F">
        <w:rPr>
          <w:rFonts w:ascii="Times New Roman" w:hAnsi="Times New Roman" w:cs="Times New Roman"/>
          <w:sz w:val="24"/>
          <w:szCs w:val="24"/>
        </w:rPr>
        <w:t xml:space="preserve">doprecyzowuje sposób monitorowania zmian stanu zatrudnienia przez Zarządcę </w:t>
      </w:r>
      <w:r w:rsidR="00BF45DD">
        <w:rPr>
          <w:rFonts w:ascii="Times New Roman" w:hAnsi="Times New Roman" w:cs="Times New Roman"/>
          <w:sz w:val="24"/>
          <w:szCs w:val="24"/>
        </w:rPr>
        <w:t>R</w:t>
      </w:r>
      <w:r w:rsidR="00A168F1" w:rsidRPr="0016041F">
        <w:rPr>
          <w:rFonts w:ascii="Times New Roman" w:hAnsi="Times New Roman" w:cs="Times New Roman"/>
          <w:sz w:val="24"/>
          <w:szCs w:val="24"/>
        </w:rPr>
        <w:t xml:space="preserve">ozliczeń wskazują zakres informacji, o które może on występować do Zakładu Ubezpieczeń Społecznych tak, aby z jednej strony ograniczyć do niezbędnego minimum zakres przekazywanych informacji, a z drugiej – zapewnić jej precyzyjność i </w:t>
      </w:r>
      <w:r w:rsidR="005C4C6D" w:rsidRPr="0016041F">
        <w:rPr>
          <w:rFonts w:ascii="Times New Roman" w:hAnsi="Times New Roman" w:cs="Times New Roman"/>
          <w:sz w:val="24"/>
          <w:szCs w:val="24"/>
        </w:rPr>
        <w:t>jednoznaczność</w:t>
      </w:r>
      <w:r w:rsidR="00A168F1" w:rsidRPr="0016041F">
        <w:rPr>
          <w:rFonts w:ascii="Times New Roman" w:hAnsi="Times New Roman" w:cs="Times New Roman"/>
          <w:sz w:val="24"/>
          <w:szCs w:val="24"/>
        </w:rPr>
        <w:t xml:space="preserve"> w procesie monitoringu</w:t>
      </w:r>
      <w:r w:rsidR="005C4C6D" w:rsidRPr="0016041F">
        <w:rPr>
          <w:rFonts w:ascii="Times New Roman" w:hAnsi="Times New Roman" w:cs="Times New Roman"/>
          <w:sz w:val="24"/>
          <w:szCs w:val="24"/>
        </w:rPr>
        <w:t>.</w:t>
      </w:r>
    </w:p>
    <w:p w14:paraId="1D796B30" w14:textId="269978C0" w:rsidR="005C4C6D" w:rsidRDefault="005C4C6D" w:rsidP="0089014D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041F">
        <w:rPr>
          <w:rFonts w:ascii="Times New Roman" w:hAnsi="Times New Roman" w:cs="Times New Roman"/>
          <w:sz w:val="24"/>
          <w:szCs w:val="24"/>
        </w:rPr>
        <w:t xml:space="preserve">Projekt rozwiązuje także dotychczasowy problem związany z finansowaniem zadań </w:t>
      </w:r>
      <w:r w:rsidR="00BF45DD">
        <w:rPr>
          <w:rFonts w:ascii="Times New Roman" w:hAnsi="Times New Roman" w:cs="Times New Roman"/>
          <w:sz w:val="24"/>
          <w:szCs w:val="24"/>
        </w:rPr>
        <w:t xml:space="preserve">finansowanych </w:t>
      </w:r>
      <w:r w:rsidR="00286D47">
        <w:rPr>
          <w:rFonts w:ascii="Times New Roman" w:hAnsi="Times New Roman" w:cs="Times New Roman"/>
          <w:sz w:val="24"/>
          <w:szCs w:val="24"/>
        </w:rPr>
        <w:br/>
      </w:r>
      <w:r w:rsidR="00BF45DD">
        <w:rPr>
          <w:rFonts w:ascii="Times New Roman" w:hAnsi="Times New Roman" w:cs="Times New Roman"/>
          <w:sz w:val="24"/>
          <w:szCs w:val="24"/>
        </w:rPr>
        <w:t xml:space="preserve">w formie dotacji </w:t>
      </w:r>
      <w:r w:rsidRPr="0016041F">
        <w:rPr>
          <w:rFonts w:ascii="Times New Roman" w:hAnsi="Times New Roman" w:cs="Times New Roman"/>
          <w:sz w:val="24"/>
          <w:szCs w:val="24"/>
        </w:rPr>
        <w:t>Zakładu Ubezpieczeń Społecznych. Aktualne przepisy nie odzwierciedlały w wysokości dotacji powiązania wynagrodzenia ZUS z rzeczywistym poziomem wykorzystania środków przez beneficjentów. Projekt ustawy precyzyjnie i jednoznacznie wskazuj</w:t>
      </w:r>
      <w:r w:rsidR="00BF45DD">
        <w:rPr>
          <w:rFonts w:ascii="Times New Roman" w:hAnsi="Times New Roman" w:cs="Times New Roman"/>
          <w:sz w:val="24"/>
          <w:szCs w:val="24"/>
        </w:rPr>
        <w:t>e</w:t>
      </w:r>
      <w:r w:rsidRPr="0016041F">
        <w:rPr>
          <w:rFonts w:ascii="Times New Roman" w:hAnsi="Times New Roman" w:cs="Times New Roman"/>
          <w:sz w:val="24"/>
          <w:szCs w:val="24"/>
        </w:rPr>
        <w:t xml:space="preserve"> podstawę obliczenia wysokości dotacji dla ZUS wiążąc ją z faktycznym wykorzystaniem środków w roku poprzednim.</w:t>
      </w:r>
    </w:p>
    <w:p w14:paraId="6CD05DCF" w14:textId="704C12D4" w:rsidR="00286D47" w:rsidRDefault="00286D47" w:rsidP="0089014D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nie przewiduje wydania podstawowych aktów wykonawczych.</w:t>
      </w:r>
    </w:p>
    <w:p w14:paraId="5F818CC8" w14:textId="1BFBD14F" w:rsidR="00286D47" w:rsidRPr="0016041F" w:rsidRDefault="00286D47" w:rsidP="0089014D">
      <w:pPr>
        <w:spacing w:before="120" w:after="12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 pozostaje w zgodzie z prawem Unii Europejskiej.</w:t>
      </w:r>
    </w:p>
    <w:p w14:paraId="180D1A18" w14:textId="77777777" w:rsidR="00077D8B" w:rsidRPr="00077D8B" w:rsidRDefault="00077D8B" w:rsidP="0089014D">
      <w:pPr>
        <w:spacing w:line="360" w:lineRule="auto"/>
        <w:rPr>
          <w:rFonts w:ascii="Times New Roman" w:hAnsi="Times New Roman" w:cs="Times New Roman"/>
        </w:rPr>
      </w:pPr>
    </w:p>
    <w:sectPr w:rsidR="00077D8B" w:rsidRPr="00077D8B" w:rsidSect="00BF45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704FE"/>
    <w:multiLevelType w:val="hybridMultilevel"/>
    <w:tmpl w:val="A3DE0F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86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449"/>
    <w:rsid w:val="0004316E"/>
    <w:rsid w:val="00077D8B"/>
    <w:rsid w:val="000C1DA0"/>
    <w:rsid w:val="0016041F"/>
    <w:rsid w:val="001E51DD"/>
    <w:rsid w:val="00213E10"/>
    <w:rsid w:val="00286D47"/>
    <w:rsid w:val="002B06A8"/>
    <w:rsid w:val="002C22AC"/>
    <w:rsid w:val="0041798B"/>
    <w:rsid w:val="00420030"/>
    <w:rsid w:val="0042739D"/>
    <w:rsid w:val="00444C27"/>
    <w:rsid w:val="00452E61"/>
    <w:rsid w:val="00460E13"/>
    <w:rsid w:val="00480060"/>
    <w:rsid w:val="00480484"/>
    <w:rsid w:val="005048CD"/>
    <w:rsid w:val="00571484"/>
    <w:rsid w:val="005C4C6D"/>
    <w:rsid w:val="00605E19"/>
    <w:rsid w:val="006D20E3"/>
    <w:rsid w:val="00742CB0"/>
    <w:rsid w:val="007A4ACA"/>
    <w:rsid w:val="007A5BA6"/>
    <w:rsid w:val="007B16E5"/>
    <w:rsid w:val="007B18DF"/>
    <w:rsid w:val="007F75D3"/>
    <w:rsid w:val="0089014D"/>
    <w:rsid w:val="008A2E31"/>
    <w:rsid w:val="008C4EAE"/>
    <w:rsid w:val="009067FE"/>
    <w:rsid w:val="009C4632"/>
    <w:rsid w:val="009D16BA"/>
    <w:rsid w:val="00A168F1"/>
    <w:rsid w:val="00AC3A12"/>
    <w:rsid w:val="00AF2301"/>
    <w:rsid w:val="00B00552"/>
    <w:rsid w:val="00B05B0F"/>
    <w:rsid w:val="00BB65A9"/>
    <w:rsid w:val="00BC4C4F"/>
    <w:rsid w:val="00BF45DD"/>
    <w:rsid w:val="00C7180C"/>
    <w:rsid w:val="00D41C1E"/>
    <w:rsid w:val="00F4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EA757"/>
  <w15:chartTrackingRefBased/>
  <w15:docId w15:val="{160C772A-EFE3-4238-A662-47AF2DB0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42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2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2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42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42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24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424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424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424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42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2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2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4244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4244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244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4244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4244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4244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424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42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42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42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42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4244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4244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4244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42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4244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42449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52E6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61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6041F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kern w:val="0"/>
      <w:sz w:val="24"/>
      <w:szCs w:val="20"/>
      <w:lang w:eastAsia="pl-PL"/>
      <w14:ligatures w14:val="none"/>
    </w:rPr>
  </w:style>
  <w:style w:type="character" w:customStyle="1" w:styleId="Ppogrubienie">
    <w:name w:val="_P_ – pogrubienie"/>
    <w:basedOn w:val="Domylnaczcionkaakapitu"/>
    <w:uiPriority w:val="1"/>
    <w:qFormat/>
    <w:rsid w:val="0016041F"/>
    <w:rPr>
      <w:b/>
    </w:rPr>
  </w:style>
  <w:style w:type="paragraph" w:styleId="Poprawka">
    <w:name w:val="Revision"/>
    <w:hidden/>
    <w:uiPriority w:val="99"/>
    <w:semiHidden/>
    <w:rsid w:val="0041798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B65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B65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B65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B65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B65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2785</Characters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2026-09-18T13:26:00Z</cp:lastPrinted>
  <dcterms:created xsi:type="dcterms:W3CDTF">2026-09-18T13:27:00Z</dcterms:created>
  <dcterms:modified xsi:type="dcterms:W3CDTF">2026-09-18T13:27:00Z</dcterms:modified>
</cp:coreProperties>
</file>